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5" w:rsidRPr="00D66BAC" w:rsidRDefault="002A0305" w:rsidP="00126D34">
      <w:pPr>
        <w:adjustRightInd w:val="0"/>
        <w:spacing w:afterLines="50" w:line="440" w:lineRule="exact"/>
        <w:ind w:left="520" w:hangingChars="200" w:hanging="520"/>
        <w:jc w:val="center"/>
        <w:rPr>
          <w:rFonts w:ascii="標楷體" w:eastAsia="標楷體" w:hAnsi="標楷體"/>
          <w:sz w:val="26"/>
          <w:szCs w:val="26"/>
        </w:rPr>
      </w:pPr>
      <w:r w:rsidRPr="00D66BAC">
        <w:rPr>
          <w:rFonts w:ascii="標楷體" w:eastAsia="標楷體" w:hAnsi="標楷體" w:hint="eastAsia"/>
          <w:sz w:val="26"/>
          <w:szCs w:val="26"/>
        </w:rPr>
        <w:t xml:space="preserve">銘傳大學  </w:t>
      </w:r>
      <w:r w:rsidR="00D66BAC" w:rsidRPr="00D66BAC">
        <w:rPr>
          <w:rFonts w:ascii="標楷體" w:eastAsia="標楷體" w:hAnsi="標楷體" w:hint="eastAsia"/>
          <w:sz w:val="26"/>
          <w:szCs w:val="26"/>
        </w:rPr>
        <w:t>社會與</w:t>
      </w:r>
      <w:r w:rsidRPr="00D66BAC">
        <w:rPr>
          <w:rFonts w:ascii="標楷體" w:eastAsia="標楷體" w:hAnsi="標楷體" w:hint="eastAsia"/>
          <w:sz w:val="26"/>
          <w:szCs w:val="26"/>
        </w:rPr>
        <w:t>安全管理學系  必選修科目架構表(</w:t>
      </w:r>
      <w:r w:rsidR="002C0E73" w:rsidRPr="00D66BAC">
        <w:rPr>
          <w:rFonts w:ascii="標楷體" w:eastAsia="標楷體" w:hAnsi="標楷體" w:hint="eastAsia"/>
          <w:sz w:val="26"/>
          <w:szCs w:val="26"/>
        </w:rPr>
        <w:t>100</w:t>
      </w:r>
      <w:r w:rsidRPr="00D66BAC">
        <w:rPr>
          <w:rFonts w:ascii="標楷體" w:eastAsia="標楷體" w:hAnsi="標楷體" w:hint="eastAsia"/>
          <w:sz w:val="26"/>
          <w:szCs w:val="26"/>
        </w:rPr>
        <w:t>學年度入學新生適用)</w:t>
      </w:r>
    </w:p>
    <w:tbl>
      <w:tblPr>
        <w:tblW w:w="11152" w:type="dxa"/>
        <w:jc w:val="center"/>
        <w:tblInd w:w="-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2"/>
        <w:gridCol w:w="1988"/>
        <w:gridCol w:w="376"/>
        <w:gridCol w:w="376"/>
        <w:gridCol w:w="401"/>
        <w:gridCol w:w="402"/>
        <w:gridCol w:w="403"/>
        <w:gridCol w:w="401"/>
        <w:gridCol w:w="403"/>
        <w:gridCol w:w="402"/>
        <w:gridCol w:w="402"/>
        <w:gridCol w:w="406"/>
        <w:gridCol w:w="403"/>
        <w:gridCol w:w="401"/>
        <w:gridCol w:w="403"/>
        <w:gridCol w:w="402"/>
        <w:gridCol w:w="402"/>
        <w:gridCol w:w="402"/>
        <w:gridCol w:w="403"/>
        <w:gridCol w:w="402"/>
        <w:gridCol w:w="1582"/>
      </w:tblGrid>
      <w:tr w:rsidR="002A0305" w:rsidRPr="00C1625F" w:rsidTr="002A0305">
        <w:trPr>
          <w:trHeight w:val="453"/>
          <w:tblHeader/>
          <w:jc w:val="center"/>
        </w:trPr>
        <w:tc>
          <w:tcPr>
            <w:tcW w:w="2380" w:type="dxa"/>
            <w:gridSpan w:val="2"/>
            <w:vMerge w:val="restart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科 目 名 稱</w:t>
            </w:r>
          </w:p>
        </w:tc>
        <w:tc>
          <w:tcPr>
            <w:tcW w:w="376" w:type="dxa"/>
            <w:vMerge w:val="restart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學分</w:t>
            </w:r>
          </w:p>
        </w:tc>
        <w:tc>
          <w:tcPr>
            <w:tcW w:w="376" w:type="dxa"/>
            <w:vMerge w:val="restart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時數</w:t>
            </w:r>
          </w:p>
        </w:tc>
        <w:tc>
          <w:tcPr>
            <w:tcW w:w="1607" w:type="dxa"/>
            <w:gridSpan w:val="4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第一學年</w:t>
            </w:r>
          </w:p>
        </w:tc>
        <w:tc>
          <w:tcPr>
            <w:tcW w:w="1613" w:type="dxa"/>
            <w:gridSpan w:val="4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第二學年</w:t>
            </w:r>
          </w:p>
        </w:tc>
        <w:tc>
          <w:tcPr>
            <w:tcW w:w="1609" w:type="dxa"/>
            <w:gridSpan w:val="4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第三學年</w:t>
            </w:r>
          </w:p>
        </w:tc>
        <w:tc>
          <w:tcPr>
            <w:tcW w:w="1609" w:type="dxa"/>
            <w:gridSpan w:val="4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第四學年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 xml:space="preserve">備 </w:t>
            </w:r>
            <w:proofErr w:type="gramStart"/>
            <w:r w:rsidRPr="00C1625F">
              <w:rPr>
                <w:rFonts w:ascii="標楷體" w:eastAsia="標楷體" w:hAnsi="標楷體" w:cs="新細明體" w:hint="eastAsia"/>
              </w:rPr>
              <w:t>註</w:t>
            </w:r>
            <w:proofErr w:type="gramEnd"/>
          </w:p>
        </w:tc>
      </w:tr>
      <w:tr w:rsidR="002A0305" w:rsidRPr="00C1625F" w:rsidTr="002A0305">
        <w:trPr>
          <w:trHeight w:val="300"/>
          <w:tblHeader/>
          <w:jc w:val="center"/>
        </w:trPr>
        <w:tc>
          <w:tcPr>
            <w:tcW w:w="2380" w:type="dxa"/>
            <w:gridSpan w:val="2"/>
            <w:vMerge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6" w:type="dxa"/>
            <w:vMerge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6" w:type="dxa"/>
            <w:vMerge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804" w:type="dxa"/>
            <w:gridSpan w:val="2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805" w:type="dxa"/>
            <w:gridSpan w:val="2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808" w:type="dxa"/>
            <w:gridSpan w:val="2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804" w:type="dxa"/>
            <w:gridSpan w:val="2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805" w:type="dxa"/>
            <w:gridSpan w:val="2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804" w:type="dxa"/>
            <w:gridSpan w:val="2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805" w:type="dxa"/>
            <w:gridSpan w:val="2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524"/>
          <w:tblHeader/>
          <w:jc w:val="center"/>
        </w:trPr>
        <w:tc>
          <w:tcPr>
            <w:tcW w:w="2380" w:type="dxa"/>
            <w:gridSpan w:val="2"/>
            <w:vMerge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6" w:type="dxa"/>
            <w:vMerge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6" w:type="dxa"/>
            <w:vMerge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2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3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1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3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2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2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6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3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1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3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2" w:type="dxa"/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2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2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403" w:type="dxa"/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A0305" w:rsidRPr="00C1625F" w:rsidRDefault="002A0305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1582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校</w:t>
            </w:r>
          </w:p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定</w:t>
            </w:r>
          </w:p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必</w:t>
            </w:r>
          </w:p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中國文學鑑賞與創作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應用英文(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305" w:rsidRPr="00C1625F" w:rsidRDefault="007A296B" w:rsidP="002A0305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備註說明</w:t>
            </w:r>
            <w:r w:rsidR="002A0305"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應用英文(二)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應用英文(三)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應用英文(四)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商務溝通英文(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商務溝通英文(二)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職場應用英文(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職場應用英文(二)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資訊科技：辦公室應用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2A0305" w:rsidRPr="00C1625F" w:rsidRDefault="007A296B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備註說明1</w:t>
            </w: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資訊科技：資料處理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通識教育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A0305" w:rsidRPr="00C1625F" w:rsidRDefault="007A296B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備註說明2</w:t>
            </w: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體育(壹~陸)</w:t>
            </w:r>
          </w:p>
        </w:tc>
        <w:tc>
          <w:tcPr>
            <w:tcW w:w="3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8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服務學習</w:t>
            </w:r>
          </w:p>
        </w:tc>
        <w:tc>
          <w:tcPr>
            <w:tcW w:w="3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7A296B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備註說明1</w:t>
            </w:r>
          </w:p>
        </w:tc>
      </w:tr>
      <w:tr w:rsidR="002A0305" w:rsidRPr="00C1625F" w:rsidTr="002A0305">
        <w:trPr>
          <w:trHeight w:val="389"/>
          <w:jc w:val="center"/>
        </w:trPr>
        <w:tc>
          <w:tcPr>
            <w:tcW w:w="392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F62073">
        <w:trPr>
          <w:trHeight w:val="363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專</w:t>
            </w:r>
          </w:p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業</w:t>
            </w:r>
          </w:p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必</w:t>
            </w:r>
          </w:p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B033C7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社會學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63"/>
          <w:jc w:val="center"/>
        </w:trPr>
        <w:tc>
          <w:tcPr>
            <w:tcW w:w="392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心理學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A0305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法學緒論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0305" w:rsidRPr="00C1625F" w:rsidRDefault="002A0305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F62073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B033C7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警察學與警察行政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833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833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833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管理科學概論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犯罪學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被害者學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F62073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B033C7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行政法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安全管理概論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安全物業管理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犯罪心理學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刑事政策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刑法總則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刑法分則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統計學概要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犯罪偵查學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安全法規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刑事訴訟法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消防學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社會科學研究法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警察法規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犯罪預防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風險管理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危機談判與處理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機構實習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7A296B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備註說明4</w:t>
            </w: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安全管理專題研究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國家安全管理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77698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專</w:t>
            </w:r>
          </w:p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業</w:t>
            </w:r>
          </w:p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選</w:t>
            </w:r>
          </w:p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體技課程(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體技課程(二)</w:t>
            </w:r>
          </w:p>
        </w:tc>
        <w:tc>
          <w:tcPr>
            <w:tcW w:w="37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青少年犯罪與輔導</w:t>
            </w:r>
          </w:p>
        </w:tc>
        <w:tc>
          <w:tcPr>
            <w:tcW w:w="37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家庭暴力問題與防處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領導與溝通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政治學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警察勤務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含戶口查察</w:t>
            </w: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環境犯罪學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含情境預防</w:t>
            </w: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pacing w:val="-18"/>
                <w:sz w:val="20"/>
                <w:szCs w:val="20"/>
              </w:rPr>
              <w:t>犯罪被害保護專題研究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矯正理論與實務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刑事攝影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公共安全管理概論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綜合逮捕術(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綜合逮捕術(二)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中華民國憲法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社會問題與政策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情報理論與實務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警察實務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6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pacing w:val="-16"/>
                <w:sz w:val="20"/>
                <w:szCs w:val="20"/>
              </w:rPr>
              <w:t>含保安警察與交通</w:t>
            </w: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保全勤務規劃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刑事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鑑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識概要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安全管理立法與政策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社會工作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消防安全設備與實務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企業管理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保全職場倫理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犯罪類型學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兩岸關係研究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刑案現場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觀護制度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心理測驗與個案研究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安全系統調查與設計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安全科技發展與運用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資訊犯罪概要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企業講座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11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監獄學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國際恐怖主義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26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少年事件處理法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260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災害防救管理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242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安全專案管理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22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犯罪防治專題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206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公共政策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363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監獄行刑法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含保安處分</w:t>
            </w:r>
          </w:p>
        </w:tc>
      </w:tr>
      <w:tr w:rsidR="002C0E73" w:rsidRPr="00C1625F" w:rsidTr="002A0305">
        <w:trPr>
          <w:trHeight w:val="170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諮商與輔導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val="152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警勤應用專題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2C0E73" w:rsidRPr="00C1625F" w:rsidTr="002A0305">
        <w:trPr>
          <w:trHeight w:hRule="exact" w:val="32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軍訓(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上、一下)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0E73" w:rsidRPr="00C1625F" w:rsidRDefault="002C0E73" w:rsidP="002A030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單學期課程</w:t>
            </w:r>
          </w:p>
        </w:tc>
      </w:tr>
      <w:tr w:rsidR="002C0E73" w:rsidRPr="00C1625F" w:rsidTr="002A0305">
        <w:trPr>
          <w:trHeight w:hRule="exact" w:val="32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護理(</w:t>
            </w:r>
            <w:proofErr w:type="gramStart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ㄧ</w:t>
            </w:r>
            <w:proofErr w:type="gramEnd"/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上、一下)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0E73" w:rsidRPr="00C1625F" w:rsidRDefault="002C0E73" w:rsidP="002A030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單學期課程</w:t>
            </w:r>
          </w:p>
        </w:tc>
      </w:tr>
      <w:tr w:rsidR="002C0E73" w:rsidRPr="00C1625F" w:rsidTr="002A0305">
        <w:trPr>
          <w:trHeight w:hRule="exact" w:val="32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軍訓(二上、二下)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0E73" w:rsidRPr="00C1625F" w:rsidRDefault="002C0E73" w:rsidP="002A0305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單學期課程</w:t>
            </w:r>
          </w:p>
        </w:tc>
      </w:tr>
      <w:tr w:rsidR="002C0E73" w:rsidRPr="00C1625F" w:rsidTr="002A0305">
        <w:trPr>
          <w:trHeight w:hRule="exact" w:val="32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體育(四上、四下)</w:t>
            </w:r>
          </w:p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單學期課程</w:t>
            </w:r>
          </w:p>
        </w:tc>
      </w:tr>
      <w:tr w:rsidR="002C0E73" w:rsidRPr="00C1625F" w:rsidTr="009210D2">
        <w:trPr>
          <w:trHeight w:hRule="exact" w:val="329"/>
          <w:jc w:val="center"/>
        </w:trPr>
        <w:tc>
          <w:tcPr>
            <w:tcW w:w="39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9210D2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210D2">
              <w:rPr>
                <w:rFonts w:ascii="標楷體" w:eastAsia="標楷體" w:hAnsi="標楷體" w:cs="新細明體" w:hint="eastAsia"/>
                <w:sz w:val="20"/>
                <w:szCs w:val="20"/>
              </w:rPr>
              <w:t>92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9210D2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210D2">
              <w:rPr>
                <w:rFonts w:ascii="標楷體" w:eastAsia="標楷體" w:hAnsi="標楷體" w:cs="新細明體" w:hint="eastAsia"/>
                <w:sz w:val="20"/>
                <w:szCs w:val="20"/>
              </w:rPr>
              <w:t>104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9210D2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210D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50168E">
        <w:trPr>
          <w:trHeight w:val="456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總計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36E62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必修科目學分數合計</w:t>
            </w:r>
          </w:p>
        </w:tc>
        <w:tc>
          <w:tcPr>
            <w:tcW w:w="7190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236E6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77698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2C0E73" w:rsidRDefault="002C0E73" w:rsidP="00501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教育學程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及通識</w:t>
            </w:r>
            <w:proofErr w:type="gramStart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教育多修之</w:t>
            </w:r>
            <w:proofErr w:type="gramEnd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學分數不得列計於</w:t>
            </w: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本系畢業學分內。</w:t>
            </w:r>
          </w:p>
          <w:p w:rsidR="002C0E73" w:rsidRPr="00C1625F" w:rsidRDefault="002C0E73" w:rsidP="0050168E">
            <w:pPr>
              <w:widowControl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2.本系承認外系選修學分數不得超過1</w:t>
            </w:r>
            <w:r w:rsidR="00126D34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學分。</w:t>
            </w:r>
          </w:p>
        </w:tc>
      </w:tr>
      <w:tr w:rsidR="002C0E73" w:rsidRPr="00C1625F" w:rsidTr="0050168E">
        <w:trPr>
          <w:trHeight w:val="456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至少應選修學分數</w:t>
            </w:r>
          </w:p>
        </w:tc>
        <w:tc>
          <w:tcPr>
            <w:tcW w:w="7190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7698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50168E">
        <w:trPr>
          <w:trHeight w:val="456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本系專業選修學分數</w:t>
            </w:r>
          </w:p>
        </w:tc>
        <w:tc>
          <w:tcPr>
            <w:tcW w:w="7190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50168E">
        <w:trPr>
          <w:trHeight w:val="456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pacing w:val="-18"/>
                <w:sz w:val="20"/>
                <w:szCs w:val="20"/>
              </w:rPr>
              <w:t>得承認外系選修學分數</w:t>
            </w:r>
          </w:p>
        </w:tc>
        <w:tc>
          <w:tcPr>
            <w:tcW w:w="7190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698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50168E">
        <w:trPr>
          <w:trHeight w:val="457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2C0E73" w:rsidRPr="00C1625F" w:rsidRDefault="002C0E73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合計</w:t>
            </w:r>
          </w:p>
        </w:tc>
        <w:tc>
          <w:tcPr>
            <w:tcW w:w="7190" w:type="dxa"/>
            <w:gridSpan w:val="1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E73" w:rsidRPr="00C1625F" w:rsidRDefault="002C0E73" w:rsidP="000D222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  <w:r w:rsidRPr="00C1625F">
              <w:rPr>
                <w:rFonts w:ascii="標楷體" w:eastAsia="標楷體" w:hAnsi="標楷體" w:hint="eastAsia"/>
                <w:sz w:val="20"/>
                <w:szCs w:val="20"/>
              </w:rPr>
              <w:t>128</w:t>
            </w:r>
          </w:p>
        </w:tc>
        <w:tc>
          <w:tcPr>
            <w:tcW w:w="15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0E73" w:rsidRPr="00C1625F" w:rsidRDefault="002C0E73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C0E73" w:rsidRPr="00C1625F" w:rsidTr="00A535F2">
        <w:trPr>
          <w:trHeight w:hRule="exact" w:val="4678"/>
          <w:jc w:val="center"/>
        </w:trPr>
        <w:tc>
          <w:tcPr>
            <w:tcW w:w="11152" w:type="dxa"/>
            <w:gridSpan w:val="21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C0E73" w:rsidRPr="00C1625F" w:rsidRDefault="002C0E73" w:rsidP="00126D34">
            <w:pPr>
              <w:widowControl/>
              <w:spacing w:beforeLines="50" w:line="3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1625F">
              <w:rPr>
                <w:rFonts w:ascii="標楷體" w:eastAsia="標楷體" w:hAnsi="標楷體" w:cs="新細明體" w:hint="eastAsia"/>
                <w:sz w:val="28"/>
                <w:szCs w:val="28"/>
              </w:rPr>
              <w:t>【備註】</w:t>
            </w:r>
          </w:p>
          <w:p w:rsidR="002C0E73" w:rsidRPr="007A296B" w:rsidRDefault="002C0E73" w:rsidP="00E56787">
            <w:pPr>
              <w:snapToGrid w:val="0"/>
              <w:spacing w:line="360" w:lineRule="exact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296B">
              <w:rPr>
                <w:rFonts w:ascii="標楷體" w:eastAsia="標楷體" w:hAnsi="標楷體" w:cs="新細明體" w:hint="eastAsia"/>
                <w:sz w:val="20"/>
                <w:szCs w:val="20"/>
              </w:rPr>
              <w:t>1.依本校學則規定，大學部學生需通過「服務學習」、「英語能力」、「資訊能力」、「中文能力」、「運動能力」及「專業基本能力」檢定，始得畢業。</w:t>
            </w:r>
          </w:p>
          <w:p w:rsidR="002C0E73" w:rsidRPr="007A296B" w:rsidRDefault="002C0E73" w:rsidP="00E56787">
            <w:pPr>
              <w:spacing w:line="360" w:lineRule="exact"/>
              <w:ind w:leftChars="100" w:left="440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296B">
              <w:rPr>
                <w:rFonts w:ascii="標楷體" w:eastAsia="標楷體" w:hAnsi="標楷體" w:cs="新細明體" w:hint="eastAsia"/>
                <w:sz w:val="20"/>
                <w:szCs w:val="20"/>
              </w:rPr>
              <w:t>2.</w:t>
            </w:r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100學年度入學新生在畢業前至少必需修完12學分的通識課程，通識課程分「人文」、「社會」、「自然」三個領域，每</w:t>
            </w:r>
            <w:proofErr w:type="gramStart"/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個</w:t>
            </w:r>
            <w:proofErr w:type="gramEnd"/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領域再分「核心」、「延伸」二類，每</w:t>
            </w:r>
            <w:proofErr w:type="gramStart"/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個</w:t>
            </w:r>
            <w:proofErr w:type="gramEnd"/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學生在每一領域的每一類至少必需修一門課2學分方得畢業。畢業學分只承認12學分的通識課程，</w:t>
            </w:r>
            <w:proofErr w:type="gramStart"/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多修習</w:t>
            </w:r>
            <w:proofErr w:type="gramEnd"/>
            <w:r w:rsidR="00A535F2" w:rsidRPr="00A535F2">
              <w:rPr>
                <w:rFonts w:ascii="標楷體" w:eastAsia="標楷體" w:hAnsi="標楷體" w:cs="新細明體"/>
                <w:sz w:val="20"/>
                <w:szCs w:val="20"/>
              </w:rPr>
              <w:t>之通識課程學分，不列入畢業學分。</w:t>
            </w:r>
          </w:p>
          <w:p w:rsidR="002C0E73" w:rsidRPr="007A296B" w:rsidRDefault="002C0E73" w:rsidP="00E56787">
            <w:pPr>
              <w:spacing w:line="360" w:lineRule="exact"/>
              <w:ind w:leftChars="100" w:left="440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296B">
              <w:rPr>
                <w:rFonts w:ascii="標楷體" w:eastAsia="標楷體" w:hAnsi="標楷體" w:cs="新細明體" w:hint="eastAsia"/>
                <w:sz w:val="20"/>
                <w:szCs w:val="20"/>
              </w:rPr>
              <w:t>3.本系必修課程「法學緒論」，可追溯至96學年度以前入學學生做為選修課程；「心理學」、</w:t>
            </w:r>
            <w:r w:rsidR="00F62073">
              <w:rPr>
                <w:rFonts w:ascii="標楷體" w:eastAsia="標楷體" w:hAnsi="標楷體" w:cs="新細明體" w:hint="eastAsia"/>
                <w:sz w:val="20"/>
                <w:szCs w:val="20"/>
              </w:rPr>
              <w:t>「消防學」、</w:t>
            </w:r>
            <w:r w:rsidRPr="007A296B">
              <w:rPr>
                <w:rFonts w:ascii="標楷體" w:eastAsia="標楷體" w:hAnsi="標楷體" w:cs="新細明體" w:hint="eastAsia"/>
                <w:sz w:val="20"/>
                <w:szCs w:val="20"/>
              </w:rPr>
              <w:t>「安全物業管理」、「刑法總則」、「刑法分則」等必修課程可追溯至97學年度以前入學學生做為選修課程。</w:t>
            </w:r>
          </w:p>
          <w:p w:rsidR="002C0E73" w:rsidRPr="007A296B" w:rsidRDefault="002C0E73" w:rsidP="00E56787">
            <w:pPr>
              <w:spacing w:line="360" w:lineRule="exact"/>
              <w:ind w:leftChars="100" w:left="440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296B">
              <w:rPr>
                <w:rFonts w:ascii="標楷體" w:eastAsia="標楷體" w:hAnsi="標楷體" w:cs="新細明體" w:hint="eastAsia"/>
                <w:sz w:val="20"/>
                <w:szCs w:val="20"/>
              </w:rPr>
              <w:t>4.『機構實習』課程，實習總時數不得低於240小時，詳細規定依本系通過之「銘傳大學</w:t>
            </w:r>
            <w:r w:rsidR="00A535F2">
              <w:rPr>
                <w:rFonts w:ascii="標楷體" w:eastAsia="標楷體" w:hAnsi="標楷體" w:cs="新細明體" w:hint="eastAsia"/>
                <w:sz w:val="20"/>
                <w:szCs w:val="20"/>
              </w:rPr>
              <w:t>社會與</w:t>
            </w:r>
            <w:r w:rsidRPr="007A296B">
              <w:rPr>
                <w:rFonts w:ascii="標楷體" w:eastAsia="標楷體" w:hAnsi="標楷體" w:cs="新細明體" w:hint="eastAsia"/>
                <w:sz w:val="20"/>
                <w:szCs w:val="20"/>
              </w:rPr>
              <w:t>安全管理學系學生實習實施細則」。</w:t>
            </w:r>
          </w:p>
          <w:p w:rsidR="00A535F2" w:rsidRDefault="00A535F2" w:rsidP="00E56787">
            <w:pPr>
              <w:widowControl/>
              <w:spacing w:line="360" w:lineRule="exact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535F2">
              <w:rPr>
                <w:rFonts w:ascii="標楷體" w:eastAsia="標楷體" w:hAnsi="標楷體" w:cs="新細明體"/>
                <w:sz w:val="20"/>
                <w:szCs w:val="20"/>
              </w:rPr>
              <w:t>5.教育學程之學分數不得列計於本系畢業學分內。</w:t>
            </w:r>
          </w:p>
          <w:p w:rsidR="00A535F2" w:rsidRPr="00A535F2" w:rsidRDefault="00A535F2" w:rsidP="00E56787">
            <w:pPr>
              <w:widowControl/>
              <w:spacing w:line="360" w:lineRule="exact"/>
              <w:ind w:leftChars="100" w:left="440" w:hangingChars="100" w:hanging="200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535F2">
              <w:rPr>
                <w:rFonts w:ascii="標楷體" w:eastAsia="標楷體" w:hAnsi="標楷體" w:cs="新細明體"/>
                <w:sz w:val="20"/>
                <w:szCs w:val="20"/>
              </w:rPr>
              <w:t>6.本必選修科目</w:t>
            </w:r>
            <w:r w:rsidR="00FF6C85">
              <w:rPr>
                <w:rFonts w:ascii="標楷體" w:eastAsia="標楷體" w:hAnsi="標楷體" w:cs="新細明體" w:hint="eastAsia"/>
                <w:sz w:val="20"/>
                <w:szCs w:val="20"/>
              </w:rPr>
              <w:t>架構</w:t>
            </w:r>
            <w:r w:rsidRPr="00A535F2">
              <w:rPr>
                <w:rFonts w:ascii="標楷體" w:eastAsia="標楷體" w:hAnsi="標楷體" w:cs="新細明體"/>
                <w:sz w:val="20"/>
                <w:szCs w:val="20"/>
              </w:rPr>
              <w:t>表之選修課程，可追溯至100學年度以前入學學生適用。</w:t>
            </w:r>
          </w:p>
        </w:tc>
      </w:tr>
    </w:tbl>
    <w:p w:rsidR="00D86047" w:rsidRPr="002A0305" w:rsidRDefault="00D86047"/>
    <w:sectPr w:rsidR="00D86047" w:rsidRPr="002A0305" w:rsidSect="00E56787">
      <w:pgSz w:w="11906" w:h="16838"/>
      <w:pgMar w:top="425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9B" w:rsidRDefault="00FA6A9B" w:rsidP="002C0E73">
      <w:r>
        <w:separator/>
      </w:r>
    </w:p>
  </w:endnote>
  <w:endnote w:type="continuationSeparator" w:id="0">
    <w:p w:rsidR="00FA6A9B" w:rsidRDefault="00FA6A9B" w:rsidP="002C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9B" w:rsidRDefault="00FA6A9B" w:rsidP="002C0E73">
      <w:r>
        <w:separator/>
      </w:r>
    </w:p>
  </w:footnote>
  <w:footnote w:type="continuationSeparator" w:id="0">
    <w:p w:rsidR="00FA6A9B" w:rsidRDefault="00FA6A9B" w:rsidP="002C0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881"/>
    <w:multiLevelType w:val="hybridMultilevel"/>
    <w:tmpl w:val="07AED7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85891"/>
    <w:multiLevelType w:val="hybridMultilevel"/>
    <w:tmpl w:val="96DC13A6"/>
    <w:lvl w:ilvl="0" w:tplc="6866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6519F"/>
    <w:multiLevelType w:val="hybridMultilevel"/>
    <w:tmpl w:val="CDD85538"/>
    <w:lvl w:ilvl="0" w:tplc="47062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E0BFE"/>
    <w:multiLevelType w:val="hybridMultilevel"/>
    <w:tmpl w:val="04768AEC"/>
    <w:lvl w:ilvl="0" w:tplc="45C6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114409"/>
    <w:multiLevelType w:val="hybridMultilevel"/>
    <w:tmpl w:val="F72881CA"/>
    <w:lvl w:ilvl="0" w:tplc="50CAA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41385C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A249E1"/>
    <w:multiLevelType w:val="hybridMultilevel"/>
    <w:tmpl w:val="748A5F86"/>
    <w:lvl w:ilvl="0" w:tplc="096814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62F74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C211EC"/>
    <w:multiLevelType w:val="hybridMultilevel"/>
    <w:tmpl w:val="81F4DA44"/>
    <w:lvl w:ilvl="0" w:tplc="A5624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772FF0"/>
    <w:multiLevelType w:val="hybridMultilevel"/>
    <w:tmpl w:val="002A9934"/>
    <w:lvl w:ilvl="0" w:tplc="48823394">
      <w:start w:val="1"/>
      <w:numFmt w:val="taiwaneseCountingThousand"/>
      <w:lvlText w:val="第%1條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7B480A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E7201E7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08D49C5"/>
    <w:multiLevelType w:val="hybridMultilevel"/>
    <w:tmpl w:val="D2FE0C64"/>
    <w:lvl w:ilvl="0" w:tplc="76120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1559AF"/>
    <w:multiLevelType w:val="hybridMultilevel"/>
    <w:tmpl w:val="D9A666FE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4027998">
      <w:start w:val="1"/>
      <w:numFmt w:val="none"/>
      <w:lvlText w:val="%2、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1491A73"/>
    <w:multiLevelType w:val="hybridMultilevel"/>
    <w:tmpl w:val="6ED2ECCC"/>
    <w:lvl w:ilvl="0" w:tplc="FDD47C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E84477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0B6A66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0845C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7D7781B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7E31B9"/>
    <w:multiLevelType w:val="hybridMultilevel"/>
    <w:tmpl w:val="E15C1932"/>
    <w:lvl w:ilvl="0" w:tplc="0E2E6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444288"/>
    <w:multiLevelType w:val="hybridMultilevel"/>
    <w:tmpl w:val="D430B828"/>
    <w:lvl w:ilvl="0" w:tplc="5EE26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3D759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795328CB"/>
    <w:multiLevelType w:val="hybridMultilevel"/>
    <w:tmpl w:val="9F7A7C80"/>
    <w:lvl w:ilvl="0" w:tplc="4384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E895FA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0"/>
  </w:num>
  <w:num w:numId="5">
    <w:abstractNumId w:val="13"/>
  </w:num>
  <w:num w:numId="6">
    <w:abstractNumId w:val="21"/>
  </w:num>
  <w:num w:numId="7">
    <w:abstractNumId w:val="17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6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305"/>
    <w:rsid w:val="00126D34"/>
    <w:rsid w:val="0015467C"/>
    <w:rsid w:val="0017347C"/>
    <w:rsid w:val="001B154E"/>
    <w:rsid w:val="00224236"/>
    <w:rsid w:val="002A0305"/>
    <w:rsid w:val="002C0E73"/>
    <w:rsid w:val="00317D0D"/>
    <w:rsid w:val="0050168E"/>
    <w:rsid w:val="00564DE4"/>
    <w:rsid w:val="006410BC"/>
    <w:rsid w:val="00673D67"/>
    <w:rsid w:val="007507FE"/>
    <w:rsid w:val="0077698B"/>
    <w:rsid w:val="007A296B"/>
    <w:rsid w:val="009210D2"/>
    <w:rsid w:val="00986AC6"/>
    <w:rsid w:val="009B5503"/>
    <w:rsid w:val="00A03F19"/>
    <w:rsid w:val="00A07B0C"/>
    <w:rsid w:val="00A535F2"/>
    <w:rsid w:val="00B033C7"/>
    <w:rsid w:val="00CD0FAE"/>
    <w:rsid w:val="00D27813"/>
    <w:rsid w:val="00D326D5"/>
    <w:rsid w:val="00D66BAC"/>
    <w:rsid w:val="00D86047"/>
    <w:rsid w:val="00DA62C3"/>
    <w:rsid w:val="00DB3291"/>
    <w:rsid w:val="00DD5CE2"/>
    <w:rsid w:val="00DE58A2"/>
    <w:rsid w:val="00E56787"/>
    <w:rsid w:val="00EF6E6E"/>
    <w:rsid w:val="00F62073"/>
    <w:rsid w:val="00F659DA"/>
    <w:rsid w:val="00F86357"/>
    <w:rsid w:val="00FA6A9B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bCs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5"/>
    <w:pPr>
      <w:widowControl w:val="0"/>
    </w:pPr>
    <w:rPr>
      <w:rFonts w:ascii="Times New Roman" w:eastAsia="新細明體" w:hAnsi="Times New Roman"/>
      <w:b w:val="0"/>
      <w:bCs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0305"/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paragraph" w:styleId="a5">
    <w:name w:val="footer"/>
    <w:basedOn w:val="a"/>
    <w:link w:val="a6"/>
    <w:rsid w:val="002A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0305"/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2A0305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rsid w:val="002A0305"/>
    <w:rPr>
      <w:color w:val="0000FF"/>
      <w:u w:val="single"/>
    </w:rPr>
  </w:style>
  <w:style w:type="character" w:styleId="a9">
    <w:name w:val="FollowedHyperlink"/>
    <w:basedOn w:val="a0"/>
    <w:rsid w:val="002A0305"/>
    <w:rPr>
      <w:color w:val="800080"/>
      <w:u w:val="single"/>
    </w:rPr>
  </w:style>
  <w:style w:type="paragraph" w:styleId="aa">
    <w:name w:val="Balloon Text"/>
    <w:basedOn w:val="a"/>
    <w:link w:val="ab"/>
    <w:rsid w:val="002A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0305"/>
    <w:rPr>
      <w:rFonts w:asciiTheme="majorHAnsi" w:eastAsiaTheme="majorEastAsia" w:hAnsiTheme="majorHAnsi" w:cstheme="majorBidi"/>
      <w:b w:val="0"/>
      <w:bCs w:val="0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2A0305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d">
    <w:name w:val="註釋標題 字元"/>
    <w:basedOn w:val="a0"/>
    <w:link w:val="ac"/>
    <w:rsid w:val="002A0305"/>
    <w:rPr>
      <w:b w:val="0"/>
      <w:bCs w:val="0"/>
      <w:kern w:val="2"/>
      <w:sz w:val="28"/>
      <w:szCs w:val="28"/>
    </w:rPr>
  </w:style>
  <w:style w:type="paragraph" w:styleId="ae">
    <w:name w:val="Closing"/>
    <w:basedOn w:val="a"/>
    <w:link w:val="af"/>
    <w:rsid w:val="002A0305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">
    <w:name w:val="結語 字元"/>
    <w:basedOn w:val="a0"/>
    <w:link w:val="ae"/>
    <w:rsid w:val="002A0305"/>
    <w:rPr>
      <w:b w:val="0"/>
      <w:bCs w:val="0"/>
      <w:kern w:val="2"/>
      <w:sz w:val="28"/>
      <w:szCs w:val="28"/>
    </w:rPr>
  </w:style>
  <w:style w:type="paragraph" w:customStyle="1" w:styleId="af0">
    <w:name w:val="條款"/>
    <w:basedOn w:val="a"/>
    <w:link w:val="af1"/>
    <w:rsid w:val="002A0305"/>
    <w:pPr>
      <w:tabs>
        <w:tab w:val="left" w:pos="1200"/>
      </w:tabs>
      <w:spacing w:line="280" w:lineRule="exact"/>
      <w:ind w:left="1080" w:hangingChars="600" w:hanging="1080"/>
      <w:jc w:val="both"/>
    </w:pPr>
    <w:rPr>
      <w:sz w:val="18"/>
      <w:szCs w:val="18"/>
    </w:rPr>
  </w:style>
  <w:style w:type="character" w:customStyle="1" w:styleId="af1">
    <w:name w:val="條款 字元"/>
    <w:basedOn w:val="a0"/>
    <w:link w:val="af0"/>
    <w:rsid w:val="002A0305"/>
    <w:rPr>
      <w:rFonts w:ascii="Times New Roman" w:eastAsia="新細明體" w:hAnsi="Times New Roman"/>
      <w:b w:val="0"/>
      <w:bCs w:val="0"/>
      <w:kern w:val="2"/>
      <w:sz w:val="18"/>
      <w:szCs w:val="18"/>
    </w:rPr>
  </w:style>
  <w:style w:type="character" w:customStyle="1" w:styleId="af2">
    <w:name w:val="說明"/>
    <w:basedOn w:val="a0"/>
    <w:rsid w:val="002A0305"/>
    <w:rPr>
      <w:rFonts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2011-04-27T01:36:00Z</dcterms:created>
  <dcterms:modified xsi:type="dcterms:W3CDTF">2012-05-07T06:25:00Z</dcterms:modified>
</cp:coreProperties>
</file>